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4A" w:rsidRDefault="00833F4A" w:rsidP="00833F4A">
      <w:pPr>
        <w:spacing w:after="300" w:line="240" w:lineRule="auto"/>
        <w:jc w:val="both"/>
        <w:outlineLvl w:val="0"/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</w:pPr>
      <w:r w:rsidRPr="00833F4A"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  <w:t>Патентная система налогообложения</w:t>
      </w:r>
    </w:p>
    <w:p w:rsidR="00833F4A" w:rsidRPr="00833F4A" w:rsidRDefault="00833F4A" w:rsidP="00833F4A">
      <w:pPr>
        <w:spacing w:after="300" w:line="240" w:lineRule="auto"/>
        <w:jc w:val="both"/>
        <w:outlineLvl w:val="0"/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</w:pPr>
      <w:bookmarkStart w:id="0" w:name="_GoBack"/>
      <w:r w:rsidRPr="00833F4A">
        <w:rPr>
          <w:rFonts w:ascii="Tahoma" w:eastAsia="Times New Roman" w:hAnsi="Tahoma" w:cs="Tahoma"/>
          <w:b/>
          <w:bCs/>
          <w:color w:val="003C80"/>
          <w:kern w:val="36"/>
          <w:sz w:val="27"/>
          <w:szCs w:val="27"/>
          <w:lang w:eastAsia="ru-RU"/>
        </w:rPr>
        <w:t>Статья 346.43. Общие положения</w:t>
      </w:r>
    </w:p>
    <w:p w:rsidR="00833F4A" w:rsidRPr="00833F4A" w:rsidRDefault="00833F4A" w:rsidP="00833F4A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1" w:name="text"/>
      <w:bookmarkEnd w:id="1"/>
      <w:bookmarkEnd w:id="0"/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Статья 346.43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Общие положения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 Патентная система налогообложения устанавливается настоящим Кодексом, вводится в действие в соответствии с настоящим Кодексом законами субъектов Российской Федерации и применяется на территориях указанных субъектов Российской Федерации.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Патентная система налогообложения применяется индивидуальными предпринимателями наряду с иными режимами налогообложения, предусмотренными законодательством Российской Федерации о налогах и сборах.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 Патентная система налогообложения применяется в отношении следующих видов предпринимательской деятельности: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ремонт, чистка, окраска и пошив обуви;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 парикмахерские и косметические услуги;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4) химическая чистка, крашение и услуги прачечных;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5) изготовление и ремонт металлической галантереи, ключей, номерных знаков, указателей улиц;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7) ремонт мебели;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8) услуги фотоателье, фото- и кинолабораторий;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9) техническое обслуживание и ремонт автотранспортных и </w:t>
      </w:r>
      <w:proofErr w:type="spellStart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мототранспортных</w:t>
      </w:r>
      <w:proofErr w:type="spellEnd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средств, машин и оборудования;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10) оказание автотранспортных услуг по перевозке грузов автомобильным транспортом;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11) оказание автотранспортных услуг по перевозке пассажиров автомобильным транспортом;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12) ремонт жилья и других построек;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13) услуги по производству монтажных, электромонтажных, санитарно-технических и сварочных работ;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14) услуги по остеклению балконов и лоджий, нарезке стекла и зеркал, художественной обработке стекла;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15) услуги по обучению населения на курсах и по репетиторству;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16) услуги по присмотру и уходу за детьми и больными;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17) услуги по приему стеклопосуды и вторичного сырья, за исключением металлолома;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18) ветеринарные услуги;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19) сдача в аренду (наем) жилых и нежилых помещений, садовых домов, земельных участков, принадлежащих индивидуальному предпринимателю на праве собственности;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20) изготовление изделий народных художественных промыслов;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21)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маслосемян</w:t>
      </w:r>
      <w:proofErr w:type="spellEnd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22) производство и реставрация ковров и ковровых изделий;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23) ремонт ювелирных изделий, бижутерии;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24) чеканка и гравировка ювелирных изделий;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25)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26) услуги по уборке жилых помещений и ведению домашнего хозяйства;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27) услуги по оформлению интерьера жилого помещения и услуги художественного оформления;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28) проведение занятий по физической культуре и спорту;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30) услуги платных туалетов;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31) услуги поваров по изготовлению блюд на дому;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32) оказание услуг по перевозке пассажиров водным транспортом;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33) оказание услуг по перевозке грузов водным транспортом;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34) услуги, связанные со сбытом сельскохозяйственной продукции (хранение, сортировка, сушка, мойка, расфасовка, упаковка и транспортировка);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35)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36) услуги по зеленому хозяйству и декоративному цветоводству;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37) ведение охотничьего хозяйства и осуществление охоты;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 </w:t>
      </w:r>
      <w:hyperlink r:id="rId4" w:anchor="block_46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от 12 апреля 2010 года N 61-ФЗ "Об обращении лекарственных средств";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39) осуществление частной детективной деятельности лицом, имеющим лицензию;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40) услуги по прокату;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41) экскурсионные услуги;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42) обрядовые услуги;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43) ритуальные услуги;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44) услуги уличных патрулей, охранников, сторожей и вахтеров;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45)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47)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48) 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49) оказание услуг по забою, транспортировке, перегонке, выпасу скота;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50) производство кожи и изделий из кожи;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51) сбор и заготовка пищевых лесных ресурсов, </w:t>
      </w:r>
      <w:proofErr w:type="spellStart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недревесных</w:t>
      </w:r>
      <w:proofErr w:type="spellEnd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лесных ресурсов и лекарственных растений;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52) сушка, переработка и консервирование фруктов и овощей;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53) производство молочной продукции;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54) производство плодово-ягодных посадочных материалов, выращивание рассады овощных культур и семян трав;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55) производство хлебобулочных и мучных кондитерских изделий;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56) товарное и спортивное рыболовство и рыбоводство;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57) лесоводство и прочая лесохозяйственная деятельность;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58) деятельность по письменному и устному переводу;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59) деятельность по уходу за престарелыми и инвалидами;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60) сбор, обработка и утилизация отходов, а также обработка вторичного сырья;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61) резка, обработка и отделка камня для памятников;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62) 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63) ремонт компьютеров и коммуникационного оборудования.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3. В целях </w:t>
      </w:r>
      <w:hyperlink r:id="rId5" w:anchor="block_3464324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подпунктов 45 - 48 пункта 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 используются следующие понятия: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розничная торговля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предпринимательская деятельность, связанная с торговлей товарами (в том числе за наличный расчет, а также с использованием платежных карт) на основе договоров розничной купли-продажи. К данному виду предпринимательской деятельности не относится реализация подакцизных товаров, указанных в </w:t>
      </w:r>
      <w:hyperlink r:id="rId6" w:anchor="block_18117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6 - 10 пункта 1 статьи 181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Кодекса, продуктов питания и напитков, в том числе алкогольных, как в упаковке и расфасовке изготовителя, так и без таких упаковки и расфасовки, в барах, ресторанах, кафе и других объектах организации общественного питания, газа, грузовых и специальных автомобилей, прицепов, полуприцепов, прицепов-роспусков, автобусов любых типов, товаров по образцам и каталогам вне стационарной торговой сети (в том числе в виде почтовых отправлений (посылочная торговля), а также через телемагазины, телефонную связь и компьютерные сети), передача лекарственных препаратов по льготным (бесплатным) рецептам, а также продукции собственного производства (изготовления). Реализация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 </w:t>
      </w:r>
      <w:hyperlink r:id="rId7" w:anchor="block_46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Федеральным законом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от 12 апреля 2010 года N 61-ФЗ "Об обращении лекарственных средств",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 </w:t>
      </w:r>
      <w:hyperlink r:id="rId8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Общероссийского классификатора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продукции по видам экономической деятельности и (или) по перечню кодов товаров в соответствии с </w:t>
      </w:r>
      <w:hyperlink r:id="rId9" w:anchor="block_10000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Товарной номенклатурой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внешнеэкономической деятельности Евразийского экономического союза, определяемых Правительством Российской Федерации, для целей настоящей главы не относится к розничной торговле. Реализация через торговые автоматы товаров и (или) продукции общественного питания, изготовленной в этих торговых автоматах, относится в целях настоящей главы к розничной торговле;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2)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стационарная торговая сеть, имеющая торговые залы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- торговая сеть, расположенная в предназначенных для ведения торговли зданиях и строениях (их частях), имеющих оснащенные специальным оборудованием обособленные помещения, предназначенные для ведения розничной торговли и обслуживания покупателей. К данной категории торговых объектов относятся магазины и павильоны;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магазин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специально оборудованное здание (его часть),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товаров и подготовки их к продаже;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павильон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строение, имеющее торговый зал и рассчитанное на одно или несколько рабочих мест;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площадь торгового зала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часть магазина, павильона,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покупателей. К площади торгового зала относится также арендуемая часть площади торгового зала. Площадь подсобных, административно-бытовых помещений, а также помещений для приема, хранения товаров и подготовки их к продаже, в которых не производится обслуживание покупателей, не относится к площади торгового зала. Площадь торгового зала определяется на основании инвентаризационных и правоустанавливающих документов;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площадь зала обслуживания посетителей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площадь специально оборудованных помещений (открытых площадок) объекта организации общественного питания, предназначенных для потребления готовой кулинарной продукции, кондитерских изделий и (или) покупных товаров, а также для проведения досуга, определяемая на основании инвентаризационных и правоустанавливающих документов;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стационарная торговая сеть, не имеющая торговых залов, 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торговая сеть, расположенная в предназначенных для ведения торговли зданиях, строениях и сооружениях (их частях), не имеющих обособленных и специально оснащенных для этих целей помещений, а также в зданиях, строениях и сооружениях (их частях), используемых для заключения договоров розничной купли-продажи, а также для проведения торгов. К данной категории торговых объектов относятся розничные рынки, ярмарки, киоски, палатки, торговые автоматы;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8)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киоск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строение, которое не имеет торгового зала и рассчитано на одно рабочее место продавца;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9)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палатка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сборно-разборная конструкция, оснащенная прилавком, не имеющая торгового зала;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10)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нестационарная торговая сеть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- торговая сеть, функционирующая на принципах развозной и разносной торговли, а также объекты организации торговли, </w:t>
      </w:r>
      <w:proofErr w:type="spellStart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неотносимые</w:t>
      </w:r>
      <w:proofErr w:type="spellEnd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 стационарной торговой сети;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развозная торговля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тонара</w:t>
      </w:r>
      <w:proofErr w:type="spellEnd"/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автоприцепа, передвижного торгового автомата;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разносная торговля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13)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услуги общественного питания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услуги по изготовлению кулинарной продукции и (или) кондитерских изделий, созданию условий для потребления и (или) реализации готовой кулинарной продукции, кондитерских изделий и (или) покупных товаров, а также по проведению досуга. К услугам общественного питания не относятся услуги по производству и реализации подакцизных товаров, указанных в </w:t>
      </w:r>
      <w:hyperlink r:id="rId10" w:anchor="block_1811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подпункте 3 пункта 1 статьи 181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Кодекса;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14)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объект организации общественного питания, имеющий зал обслуживания посетителей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- здание (его часть) или строение, предназначенные для оказания услуг общественного питания и имеющие специально оборудованное помещение (открытую площадку) для потребления готовой кулинарной продукции, кондитерских изделий и (или) покупных товаров, а также для проведения досуга;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15)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объект организации общественного питания, не имеющий зала обслуживания посетителей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- объект организации общественного питания, не имеющий специально оборудованного помещения (открытой площадки) для потребления готовой кулинарной продукции, кондитерских изделий и (или) покупных товаров. К данной категории объектов организации общественного питания относятся киоски, палатки, магазины (отделы) кулинарии при ресторанах, барах, кафе, столовых, закусочных и другие аналогичные точки общественного питания;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16) </w:t>
      </w:r>
      <w:r w:rsidRPr="00833F4A">
        <w:rPr>
          <w:rFonts w:ascii="Tahoma" w:eastAsia="Times New Roman" w:hAnsi="Tahoma" w:cs="Tahoma"/>
          <w:b/>
          <w:bCs/>
          <w:color w:val="000080"/>
          <w:sz w:val="18"/>
          <w:szCs w:val="18"/>
          <w:lang w:eastAsia="ru-RU"/>
        </w:rPr>
        <w:t>открытая площадка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- специально оборудованное для общественного питания место, расположенное на земельном участке.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4. В целях настоящей главы к инвентаризационным и правоустанавливающим документам относятся любые имеющиеся у индивидуального предпринимателя документы на объект стационарной торговой сети (организации общественного питания), содержащие информацию о назначении, конструктивных особенностях и планировке помещений такого объекта, а также информацию, подтверждающую право пользования данным объектом (договор купли-продажи нежилого помещения, технический паспорт на нежилое помещение, планы, схемы, экспликации, договор аренды (субаренды) нежилого помещения или его части (частей), разрешение на право обслуживания посетителей на открытой площадке и другие документы).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5. При применении патентной системы налогообложения индивидуальный предприниматель вправе привлекать наемных работников, в том числе по договорам гражданско-правового характера. При этом средняя численность наемных работников, определяемая в </w:t>
      </w:r>
      <w:hyperlink r:id="rId11" w:anchor="block_107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порядке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устанавливаемом федеральным органом исполнительной власти, уполномоченным в области статистики, не должна превышать за </w:t>
      </w:r>
      <w:hyperlink r:id="rId12" w:anchor="block_34649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налоговый период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15 </w:t>
      </w: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человек по всем видам предпринимательской деятельности, осуществляемым индивидуальным предпринимателем, в отношении которых применяется патентная система налогообложения.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6. Патентная система налогообложения не применяется в отношении видов предпринимательской деятельности, указанных в </w:t>
      </w:r>
      <w:hyperlink r:id="rId13" w:anchor="block_3464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пункте 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статьи, в случае их осуществления в рамках договора простого товарищества (договора о совместной деятельности) или договора доверительного управления имуществом.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7. Законами субъектов Российской Федерации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При этом максимальный размер потенциально возможного к получению индивидуальным предпринимателем годового дохода не может превышать 1 млн. рублей, если иное не установлено </w:t>
      </w:r>
      <w:hyperlink r:id="rId14" w:anchor="block_346438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пунктом 8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8. Субъекты Российской Федерации вправе: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в целях установления размеров потенциально возможного к получению индивидуальным предпринимателем годового дохода по видам деятельности, в отношении которых применяется патентная система налогообложения, дифференцировать виды предпринимательской деятельности, указанные в </w:t>
      </w:r>
      <w:hyperlink r:id="rId15" w:anchor="block_3464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пункте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статьи, если такая дифференциация предусмотрена </w:t>
      </w:r>
      <w:hyperlink r:id="rId16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Общероссийским классификатором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видов экономической деятельности и (или) </w:t>
      </w:r>
      <w:hyperlink r:id="rId17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Общероссийским классификатором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продукции по видам экономической деятельности;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1.1) в целях установления размеров потенциально возможного к получению индивидуальным предпринимателем годового дохода по видам деятельности, в отношении которых применяется патентная система налогообложения, дифференцировать территорию субъекта Российской Федерации по территориям действия патентов по муниципальным образованиям (группам муниципальных образований), за исключением патентов на осуществление видов предпринимательской деятельности, указанных в </w:t>
      </w:r>
      <w:hyperlink r:id="rId18" w:anchor="block_3464321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10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19" w:anchor="block_3464321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20" w:anchor="block_346432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21" w:anchor="block_3464323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33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 </w:t>
      </w:r>
      <w:hyperlink r:id="rId22" w:anchor="block_34643246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подпункте 46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(в части, касающейся развозной и разносной розничной торговли) пункта 2 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устанавливать дополнительный перечень видов предпринимательской деятельности, относящихся к бытовым услугам и не указанных в </w:t>
      </w:r>
      <w:hyperlink r:id="rId23" w:anchor="block_3464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пункте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статьи, в отношении которых применяется патентная система налогообложения. </w:t>
      </w:r>
      <w:hyperlink r:id="rId24" w:anchor="block_100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Коды видов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деятельности в соответствии с </w:t>
      </w:r>
      <w:hyperlink r:id="rId2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Общероссийским классификатором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видов экономической деятельности и </w:t>
      </w:r>
      <w:hyperlink r:id="rId26" w:anchor="block_200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коды услуг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 соответствии с </w:t>
      </w:r>
      <w:hyperlink r:id="rId27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Общероссийским классификатором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продукции по видам экономической деятельности, относящихся к бытовым услугам, определяются Правительством Российской Федерации.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 установлении предусмотренного настоящим подпунктом дополнительного перечня видов предпринимательской деятельности размер потенциально возможного к получению индивидуальным предпринимателем годового дохода может определяться для групп (подгрупп) и (или) отдельных видов экономической деятельности, относящихся к бытовым услугам;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2.1) устанавливать следующие ограничения для применения патентной системы налогообложения: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 общей площади сдаваемых в аренду (наем) жилых и нежилых помещений, земельных участков, принадлежащих индивидуальному предпринимателю на праве собственности, - по виду предпринимательской деятельности, указанному в </w:t>
      </w:r>
      <w:hyperlink r:id="rId28" w:anchor="block_34643219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подпункте 19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 общему количеству автотранспортных средств и судов водного транспорта - по видам предпринимательской деятельности, указанным в </w:t>
      </w:r>
      <w:hyperlink r:id="rId29" w:anchor="block_3464321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10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30" w:anchor="block_3464321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31" w:anchor="block_346432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 </w:t>
      </w:r>
      <w:hyperlink r:id="rId32" w:anchor="block_3464323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33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 общему количеству объектов стационарной и нестационарной торговой сети и объектов организации общественного питания и (или) их общей площади - по видам предпринимательской деятельности, указанным в </w:t>
      </w:r>
      <w:hyperlink r:id="rId33" w:anchor="block_3464324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45 - 48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 устанавливать размер потенциально возможного к получению индивидуальным предпринимателем годового дохода: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единицу средней численности наемных работников;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единицу автотранспортных средств, судов водного транспорта;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1 тонну грузоподъемности транспортных средств, на одно пассажирское место - по видам предпринимательской деятельности, указанным в </w:t>
      </w:r>
      <w:hyperlink r:id="rId34" w:anchor="block_3464321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10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35" w:anchor="block_3464321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36" w:anchor="block_346432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 </w:t>
      </w:r>
      <w:hyperlink r:id="rId37" w:anchor="block_3464323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33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1 квадратный метр площади сдаваемых в аренду (наем) жилых и нежилых помещений, земельных участков - по виду предпринимательской деятельности, указанному в </w:t>
      </w:r>
      <w:hyperlink r:id="rId38" w:anchor="block_34643219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подпункте 19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 один объект стационарной (нестационарной) торговой сети, объект организации общественного питания и (или) на 1 квадратный метр площади объекта стационарной (нестационарной) торговой сети, объекта организации общественного питания - по видам предпринимательской деятельности, указанным в </w:t>
      </w:r>
      <w:hyperlink r:id="rId39" w:anchor="block_3464324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45 - 48 пункта 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зависимости от территории действия патента с учетом положений </w:t>
      </w:r>
      <w:hyperlink r:id="rId40" w:anchor="block_3464381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 1.1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пункта;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4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4)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увеличивать максимальный размер потенциально возможного к получению индивидуальным предпринимателем годового дохода: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 более чем в три раза - по видам предпринимательской деятельности, указанным в </w:t>
      </w:r>
      <w:hyperlink r:id="rId42" w:anchor="block_3464329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9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3" w:anchor="block_3464321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10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4" w:anchor="block_3464321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5" w:anchor="block_3464323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6" w:anchor="block_3464323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33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7" w:anchor="block_34643238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38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8" w:anchor="block_3464324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42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49" w:anchor="block_3464324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43 пункта 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 более чем в пять раз - по всем видам предпринимательской деятельности, в отношении которых применяется патентная система налогообложения, осуществляемым на территории города с численностью населения более одного миллиона человек;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не более чем в десять раз - по видам предпринимательской деятельности, указанным в </w:t>
      </w:r>
      <w:hyperlink r:id="rId50" w:anchor="block_34643219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подпунктах 19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 </w:t>
      </w:r>
      <w:hyperlink r:id="rId51" w:anchor="block_34643245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45 - 47 пункта 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9. Указанный в </w:t>
      </w:r>
      <w:hyperlink r:id="rId52" w:anchor="block_346437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пункте 7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настоящей статьи максимальный размер потенциально возможного к получению индивидуальным предпринимателем годового дохода подлежит индексации на </w:t>
      </w:r>
      <w:hyperlink r:id="rId53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коэффициент-дефлятор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установленный на соответствующий календарный год.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10. Применение патентной системы налогообложения индивидуальными предпринимателями предусматривает их освобождение от обязанности по уплате: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налога на доходы физических лиц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налога на имущество физических лиц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 налогообложения налогом на имущество физических лиц, включенных в перечень, определяемый в соответствии с </w:t>
      </w:r>
      <w:hyperlink r:id="rId54" w:anchor="block_37827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пунктом 7 статьи 378.2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Кодекса с учетом особенностей, предусмотренных </w:t>
      </w:r>
      <w:hyperlink r:id="rId55" w:anchor="block_3782102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абзацем вторым пункта 10 статьи 378.2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Кодекса).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11. Индивидуальные предприниматели, применяющие патентную систему налогообложения, не признаются налогоплательщиками налога на добавленную стоимость, за исключением налога на добавленную стоимость, подлежащего уплате в соответствии с настоящим Кодексом: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при осуществлении видов предпринимательской деятельности, в отношении которых не применяется патентная система налогообложения;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при ввозе товаров на территорию Российской Федерации и иные территории, находящиеся под ее юрисдикцией, включая суммы налога, подлежащие уплате при завершении действия таможенной </w:t>
      </w:r>
      <w:hyperlink r:id="rId56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процедуры свободной таможенной зоны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 территории Особой экономической зоны в Калининградской области;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3) при осуществлении операций, облагаемых в соответствии со </w:t>
      </w:r>
      <w:hyperlink r:id="rId57" w:anchor="block_161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статьями 161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и </w:t>
      </w:r>
      <w:hyperlink r:id="rId58" w:anchor="block_17410" w:history="1">
        <w:r w:rsidRPr="00833F4A">
          <w:rPr>
            <w:rFonts w:ascii="Arial" w:eastAsia="Times New Roman" w:hAnsi="Arial" w:cs="Arial"/>
            <w:color w:val="336699"/>
            <w:sz w:val="18"/>
            <w:szCs w:val="18"/>
            <w:u w:val="single"/>
            <w:lang w:eastAsia="ru-RU"/>
          </w:rPr>
          <w:t>174.1</w:t>
        </w:r>
      </w:hyperlink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настоящего Кодекса.</w:t>
      </w:r>
    </w:p>
    <w:p w:rsidR="00833F4A" w:rsidRPr="00833F4A" w:rsidRDefault="00833F4A" w:rsidP="00833F4A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33F4A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12. Иные налоги индивидуальные предприниматели, применяющие патентную систему налогообложения, уплачивают в соответствии с законодательством о налогах и сборах, а также исполняют обязанности налоговых агентов, предусмотренные настоящим Кодексом.</w:t>
      </w:r>
    </w:p>
    <w:p w:rsidR="006A1606" w:rsidRPr="00833F4A" w:rsidRDefault="006A1606" w:rsidP="00833F4A"/>
    <w:sectPr w:rsidR="006A1606" w:rsidRPr="0083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4A"/>
    <w:rsid w:val="006A1606"/>
    <w:rsid w:val="008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8D7"/>
  <w15:chartTrackingRefBased/>
  <w15:docId w15:val="{F6D03CAF-C64D-45F7-914A-9B1A855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5">
    <w:name w:val="s_15"/>
    <w:basedOn w:val="a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3F4A"/>
  </w:style>
  <w:style w:type="paragraph" w:customStyle="1" w:styleId="s1">
    <w:name w:val="s_1"/>
    <w:basedOn w:val="a"/>
    <w:rsid w:val="008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log.garant.ru/fns/nk/62653c6d8c1fec0d9d9832f37feb36f8/" TargetMode="External"/><Relationship Id="rId18" Type="http://schemas.openxmlformats.org/officeDocument/2006/relationships/hyperlink" Target="http://nalog.garant.ru/fns/nk/62653c6d8c1fec0d9d9832f37feb36f8/" TargetMode="External"/><Relationship Id="rId26" Type="http://schemas.openxmlformats.org/officeDocument/2006/relationships/hyperlink" Target="http://base.garant.ru/71548248/f7ee959fd36b5699076b35abf4f52c5c/" TargetMode="External"/><Relationship Id="rId39" Type="http://schemas.openxmlformats.org/officeDocument/2006/relationships/hyperlink" Target="http://nalog.garant.ru/fns/nk/62653c6d8c1fec0d9d9832f37feb36f8/" TargetMode="External"/><Relationship Id="rId21" Type="http://schemas.openxmlformats.org/officeDocument/2006/relationships/hyperlink" Target="http://nalog.garant.ru/fns/nk/62653c6d8c1fec0d9d9832f37feb36f8/" TargetMode="External"/><Relationship Id="rId34" Type="http://schemas.openxmlformats.org/officeDocument/2006/relationships/hyperlink" Target="http://nalog.garant.ru/fns/nk/62653c6d8c1fec0d9d9832f37feb36f8/" TargetMode="External"/><Relationship Id="rId42" Type="http://schemas.openxmlformats.org/officeDocument/2006/relationships/hyperlink" Target="http://nalog.garant.ru/fns/nk/62653c6d8c1fec0d9d9832f37feb36f8/" TargetMode="External"/><Relationship Id="rId47" Type="http://schemas.openxmlformats.org/officeDocument/2006/relationships/hyperlink" Target="http://nalog.garant.ru/fns/nk/62653c6d8c1fec0d9d9832f37feb36f8/" TargetMode="External"/><Relationship Id="rId50" Type="http://schemas.openxmlformats.org/officeDocument/2006/relationships/hyperlink" Target="http://nalog.garant.ru/fns/nk/62653c6d8c1fec0d9d9832f37feb36f8/" TargetMode="External"/><Relationship Id="rId55" Type="http://schemas.openxmlformats.org/officeDocument/2006/relationships/hyperlink" Target="http://nalog.garant.ru/fns/nk/646882137a6a76f226bdfaff58df1005/" TargetMode="External"/><Relationship Id="rId7" Type="http://schemas.openxmlformats.org/officeDocument/2006/relationships/hyperlink" Target="http://base.garant.ru/12174909/363aa18e6c32ff15fa5ec3b09cbefbf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0726/" TargetMode="External"/><Relationship Id="rId29" Type="http://schemas.openxmlformats.org/officeDocument/2006/relationships/hyperlink" Target="http://nalog.garant.ru/fns/nk/62653c6d8c1fec0d9d9832f37feb36f8/" TargetMode="External"/><Relationship Id="rId11" Type="http://schemas.openxmlformats.org/officeDocument/2006/relationships/hyperlink" Target="http://base.garant.ru/73088246/" TargetMode="External"/><Relationship Id="rId24" Type="http://schemas.openxmlformats.org/officeDocument/2006/relationships/hyperlink" Target="http://base.garant.ru/71548248/53f89421bbdaf741eb2d1ecc4ddb4c33/" TargetMode="External"/><Relationship Id="rId32" Type="http://schemas.openxmlformats.org/officeDocument/2006/relationships/hyperlink" Target="http://nalog.garant.ru/fns/nk/62653c6d8c1fec0d9d9832f37feb36f8/" TargetMode="External"/><Relationship Id="rId37" Type="http://schemas.openxmlformats.org/officeDocument/2006/relationships/hyperlink" Target="http://nalog.garant.ru/fns/nk/62653c6d8c1fec0d9d9832f37feb36f8/" TargetMode="External"/><Relationship Id="rId40" Type="http://schemas.openxmlformats.org/officeDocument/2006/relationships/hyperlink" Target="http://nalog.garant.ru/fns/nk/62653c6d8c1fec0d9d9832f37feb36f8/" TargetMode="External"/><Relationship Id="rId45" Type="http://schemas.openxmlformats.org/officeDocument/2006/relationships/hyperlink" Target="http://nalog.garant.ru/fns/nk/62653c6d8c1fec0d9d9832f37feb36f8/" TargetMode="External"/><Relationship Id="rId53" Type="http://schemas.openxmlformats.org/officeDocument/2006/relationships/hyperlink" Target="http://base.garant.ru/57506305/" TargetMode="External"/><Relationship Id="rId58" Type="http://schemas.openxmlformats.org/officeDocument/2006/relationships/hyperlink" Target="http://nalog.garant.ru/fns/nk/08d354bd4142992f367f21216deec0bf/" TargetMode="External"/><Relationship Id="rId5" Type="http://schemas.openxmlformats.org/officeDocument/2006/relationships/hyperlink" Target="http://nalog.garant.ru/fns/nk/62653c6d8c1fec0d9d9832f37feb36f8/" TargetMode="External"/><Relationship Id="rId19" Type="http://schemas.openxmlformats.org/officeDocument/2006/relationships/hyperlink" Target="http://nalog.garant.ru/fns/nk/62653c6d8c1fec0d9d9832f37feb36f8/" TargetMode="External"/><Relationship Id="rId4" Type="http://schemas.openxmlformats.org/officeDocument/2006/relationships/hyperlink" Target="http://base.garant.ru/12174909/363aa18e6c32ff15fa5ec3b09cbefbf6/" TargetMode="External"/><Relationship Id="rId9" Type="http://schemas.openxmlformats.org/officeDocument/2006/relationships/hyperlink" Target="http://base.garant.ru/70205520/d8e34e7b9274ff56b4ab44c1bd6398fb/" TargetMode="External"/><Relationship Id="rId14" Type="http://schemas.openxmlformats.org/officeDocument/2006/relationships/hyperlink" Target="http://nalog.garant.ru/fns/nk/62653c6d8c1fec0d9d9832f37feb36f8/" TargetMode="External"/><Relationship Id="rId22" Type="http://schemas.openxmlformats.org/officeDocument/2006/relationships/hyperlink" Target="http://nalog.garant.ru/fns/nk/62653c6d8c1fec0d9d9832f37feb36f8/" TargetMode="External"/><Relationship Id="rId27" Type="http://schemas.openxmlformats.org/officeDocument/2006/relationships/hyperlink" Target="http://base.garant.ru/70650730/" TargetMode="External"/><Relationship Id="rId30" Type="http://schemas.openxmlformats.org/officeDocument/2006/relationships/hyperlink" Target="http://nalog.garant.ru/fns/nk/62653c6d8c1fec0d9d9832f37feb36f8/" TargetMode="External"/><Relationship Id="rId35" Type="http://schemas.openxmlformats.org/officeDocument/2006/relationships/hyperlink" Target="http://nalog.garant.ru/fns/nk/62653c6d8c1fec0d9d9832f37feb36f8/" TargetMode="External"/><Relationship Id="rId43" Type="http://schemas.openxmlformats.org/officeDocument/2006/relationships/hyperlink" Target="http://nalog.garant.ru/fns/nk/62653c6d8c1fec0d9d9832f37feb36f8/" TargetMode="External"/><Relationship Id="rId48" Type="http://schemas.openxmlformats.org/officeDocument/2006/relationships/hyperlink" Target="http://nalog.garant.ru/fns/nk/62653c6d8c1fec0d9d9832f37feb36f8/" TargetMode="External"/><Relationship Id="rId56" Type="http://schemas.openxmlformats.org/officeDocument/2006/relationships/hyperlink" Target="http://base.garant.ru/12177099/" TargetMode="External"/><Relationship Id="rId8" Type="http://schemas.openxmlformats.org/officeDocument/2006/relationships/hyperlink" Target="http://base.garant.ru/70650730/" TargetMode="External"/><Relationship Id="rId51" Type="http://schemas.openxmlformats.org/officeDocument/2006/relationships/hyperlink" Target="http://nalog.garant.ru/fns/nk/62653c6d8c1fec0d9d9832f37feb36f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alog.garant.ru/fns/nk/467248b9a0bb70f0dca9c1f3d6c81c70/" TargetMode="External"/><Relationship Id="rId17" Type="http://schemas.openxmlformats.org/officeDocument/2006/relationships/hyperlink" Target="http://base.garant.ru/70650730/" TargetMode="External"/><Relationship Id="rId25" Type="http://schemas.openxmlformats.org/officeDocument/2006/relationships/hyperlink" Target="http://base.garant.ru/70650726/" TargetMode="External"/><Relationship Id="rId33" Type="http://schemas.openxmlformats.org/officeDocument/2006/relationships/hyperlink" Target="http://nalog.garant.ru/fns/nk/62653c6d8c1fec0d9d9832f37feb36f8/" TargetMode="External"/><Relationship Id="rId38" Type="http://schemas.openxmlformats.org/officeDocument/2006/relationships/hyperlink" Target="http://nalog.garant.ru/fns/nk/62653c6d8c1fec0d9d9832f37feb36f8/" TargetMode="External"/><Relationship Id="rId46" Type="http://schemas.openxmlformats.org/officeDocument/2006/relationships/hyperlink" Target="http://nalog.garant.ru/fns/nk/62653c6d8c1fec0d9d9832f37feb36f8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nalog.garant.ru/fns/nk/62653c6d8c1fec0d9d9832f37feb36f8/" TargetMode="External"/><Relationship Id="rId41" Type="http://schemas.openxmlformats.org/officeDocument/2006/relationships/hyperlink" Target="http://base.garant.ru/70411146/" TargetMode="External"/><Relationship Id="rId54" Type="http://schemas.openxmlformats.org/officeDocument/2006/relationships/hyperlink" Target="http://nalog.garant.ru/fns/nk/646882137a6a76f226bdfaff58df1005/" TargetMode="External"/><Relationship Id="rId1" Type="http://schemas.openxmlformats.org/officeDocument/2006/relationships/styles" Target="styles.xml"/><Relationship Id="rId6" Type="http://schemas.openxmlformats.org/officeDocument/2006/relationships/hyperlink" Target="http://nalog.garant.ru/fns/nk/b89f3082384f3d024adf2f3a41be9756/" TargetMode="External"/><Relationship Id="rId15" Type="http://schemas.openxmlformats.org/officeDocument/2006/relationships/hyperlink" Target="http://nalog.garant.ru/fns/nk/62653c6d8c1fec0d9d9832f37feb36f8/" TargetMode="External"/><Relationship Id="rId23" Type="http://schemas.openxmlformats.org/officeDocument/2006/relationships/hyperlink" Target="http://nalog.garant.ru/fns/nk/62653c6d8c1fec0d9d9832f37feb36f8/" TargetMode="External"/><Relationship Id="rId28" Type="http://schemas.openxmlformats.org/officeDocument/2006/relationships/hyperlink" Target="http://nalog.garant.ru/fns/nk/62653c6d8c1fec0d9d9832f37feb36f8/" TargetMode="External"/><Relationship Id="rId36" Type="http://schemas.openxmlformats.org/officeDocument/2006/relationships/hyperlink" Target="http://nalog.garant.ru/fns/nk/62653c6d8c1fec0d9d9832f37feb36f8/" TargetMode="External"/><Relationship Id="rId49" Type="http://schemas.openxmlformats.org/officeDocument/2006/relationships/hyperlink" Target="http://nalog.garant.ru/fns/nk/62653c6d8c1fec0d9d9832f37feb36f8/" TargetMode="External"/><Relationship Id="rId57" Type="http://schemas.openxmlformats.org/officeDocument/2006/relationships/hyperlink" Target="http://nalog.garant.ru/fns/nk/4937220ae6cef91cd7865edfe9b471d0/" TargetMode="External"/><Relationship Id="rId10" Type="http://schemas.openxmlformats.org/officeDocument/2006/relationships/hyperlink" Target="http://nalog.garant.ru/fns/nk/b89f3082384f3d024adf2f3a41be9756/" TargetMode="External"/><Relationship Id="rId31" Type="http://schemas.openxmlformats.org/officeDocument/2006/relationships/hyperlink" Target="http://nalog.garant.ru/fns/nk/62653c6d8c1fec0d9d9832f37feb36f8/" TargetMode="External"/><Relationship Id="rId44" Type="http://schemas.openxmlformats.org/officeDocument/2006/relationships/hyperlink" Target="http://nalog.garant.ru/fns/nk/62653c6d8c1fec0d9d9832f37feb36f8/" TargetMode="External"/><Relationship Id="rId52" Type="http://schemas.openxmlformats.org/officeDocument/2006/relationships/hyperlink" Target="http://nalog.garant.ru/fns/nk/62653c6d8c1fec0d9d9832f37feb36f8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4093</Words>
  <Characters>23335</Characters>
  <Application>Microsoft Office Word</Application>
  <DocSecurity>0</DocSecurity>
  <Lines>194</Lines>
  <Paragraphs>54</Paragraphs>
  <ScaleCrop>false</ScaleCrop>
  <Company/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Martynov_VV</dc:creator>
  <cp:keywords/>
  <dc:description/>
  <cp:lastModifiedBy>Martynov_VV</cp:lastModifiedBy>
  <cp:revision>1</cp:revision>
  <dcterms:created xsi:type="dcterms:W3CDTF">2020-01-29T06:40:00Z</dcterms:created>
  <dcterms:modified xsi:type="dcterms:W3CDTF">2020-01-29T06:40:00Z</dcterms:modified>
</cp:coreProperties>
</file>